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Norrtälje kommunfullmäktige</w:t>
      </w:r>
    </w:p>
    <w:p>
      <w:pPr>
        <w:pStyle w:val="Heading1"/>
      </w:pPr>
      <w:r>
        <w:t xml:space="preserve">Utöka elbåtslinjer i skärgården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till Norrtäljes skärgård är otillräcklig enligt SL:s resandeundersökning 2024. Ökad elbåtstrafik stödjer både turism och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två nya elbåtslinjer från Norrtälje till öarna från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Region Stockholm inleds om finansiering.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förstudie om hållbara bryggor redovisas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turistnäringen involveras i planeringen.</w:t>
      </w:r>
    </w:p>
    <w:p>
      <w:pPr>
        <w:spacing w:before="360"/>
      </w:pPr>
    </w:p>
    <w:p>
      <w:r>
        <w:t xml:space="preserve">Norrtälje,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2026-07-14T04:43:17.582Z</dcterms:created>
  <dcterms:modified xsi:type="dcterms:W3CDTF">2026-07-14T04:43:17.582Z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